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92" w:rsidRPr="00A72C19" w:rsidRDefault="00092492" w:rsidP="005412D0">
      <w:pPr>
        <w:pStyle w:val="Nadpis2"/>
        <w:numPr>
          <w:ilvl w:val="0"/>
          <w:numId w:val="0"/>
        </w:numPr>
        <w:spacing w:before="0" w:after="0" w:line="276" w:lineRule="auto"/>
        <w:rPr>
          <w:rFonts w:ascii="Arial" w:hAnsi="Arial" w:cs="Arial"/>
        </w:rPr>
      </w:pPr>
    </w:p>
    <w:tbl>
      <w:tblPr>
        <w:tblStyle w:val="Mkatabulky"/>
        <w:tblW w:w="8972" w:type="dxa"/>
        <w:tblLook w:val="04A0" w:firstRow="1" w:lastRow="0" w:firstColumn="1" w:lastColumn="0" w:noHBand="0" w:noVBand="1"/>
      </w:tblPr>
      <w:tblGrid>
        <w:gridCol w:w="704"/>
        <w:gridCol w:w="8268"/>
      </w:tblGrid>
      <w:tr w:rsidR="00092492" w:rsidRPr="00C0236B" w:rsidTr="00CA5B65">
        <w:trPr>
          <w:cantSplit/>
          <w:trHeight w:val="1134"/>
        </w:trPr>
        <w:tc>
          <w:tcPr>
            <w:tcW w:w="704" w:type="dxa"/>
            <w:textDirection w:val="btLr"/>
          </w:tcPr>
          <w:p w:rsidR="00092492" w:rsidRPr="006444A6" w:rsidRDefault="00092492" w:rsidP="00092492">
            <w:pPr>
              <w:pStyle w:val="Odstavecseseznamem"/>
              <w:numPr>
                <w:ilvl w:val="0"/>
                <w:numId w:val="4"/>
              </w:numPr>
              <w:spacing w:after="0"/>
              <w:ind w:right="113"/>
              <w:rPr>
                <w:b/>
              </w:rPr>
            </w:pPr>
            <w:r w:rsidRPr="006444A6">
              <w:rPr>
                <w:b/>
              </w:rPr>
              <w:t>Zvýšení konkurenceschopnosti podnikání včetně sociálního podnikání a cestovního ruchu, zemědělství, lesnictví, rybníkářství a včelařství</w:t>
            </w:r>
          </w:p>
        </w:tc>
        <w:tc>
          <w:tcPr>
            <w:tcW w:w="8268" w:type="dxa"/>
          </w:tcPr>
          <w:p w:rsidR="00092492" w:rsidRDefault="00092492" w:rsidP="00CA5B65">
            <w:pPr>
              <w:spacing w:after="0"/>
            </w:pPr>
            <w:r w:rsidRPr="00C0236B">
              <w:t xml:space="preserve">Na </w:t>
            </w:r>
            <w:r>
              <w:t>území MAS Vltava</w:t>
            </w:r>
            <w:r w:rsidRPr="00C0236B">
              <w:t xml:space="preserve"> </w:t>
            </w:r>
            <w:r>
              <w:t xml:space="preserve">(shodné s územím ORP Týn nad Vltavou a označovaném Vltavotýnsko) </w:t>
            </w:r>
            <w:r w:rsidRPr="00C0236B">
              <w:t xml:space="preserve">je poměrně hojný počet malých a středních živností. Funguje zde Farmářské centrum </w:t>
            </w:r>
            <w:bookmarkStart w:id="0" w:name="_GoBack"/>
            <w:bookmarkEnd w:id="0"/>
            <w:r w:rsidRPr="00C0236B">
              <w:t>sdružující místní zemědělce, místní Český svaz včelařů, místní R</w:t>
            </w:r>
            <w:r>
              <w:t xml:space="preserve">ybářský svaz. </w:t>
            </w:r>
            <w:r w:rsidRPr="00C0236B">
              <w:t xml:space="preserve">Lesnictví a podnikání zde </w:t>
            </w:r>
            <w:r>
              <w:t xml:space="preserve">místně </w:t>
            </w:r>
            <w:r w:rsidRPr="00C0236B">
              <w:t xml:space="preserve">sdružováno není. </w:t>
            </w:r>
          </w:p>
          <w:p w:rsidR="00092492" w:rsidRDefault="00092492" w:rsidP="00CA5B65">
            <w:pPr>
              <w:spacing w:after="0"/>
            </w:pPr>
            <w:r w:rsidRPr="00C0236B">
              <w:t>Podnikání na Vltavotýnsku čelí výzvám se špatně dostupnou kvalifikovanou (odbornou) pracovní silou</w:t>
            </w:r>
            <w:r>
              <w:t xml:space="preserve"> (v některých odvětvím nutnost získávání zahraničních pracovníků)</w:t>
            </w:r>
            <w:r w:rsidRPr="00C0236B">
              <w:t>, postavením v odbytových řetězcích, nízkým inovačním potenciálem, nedostatečnou spoluprací s veřejnou správou, s regionálními partnery (např. Jihočeská hospodářská komora), školskými subjekty a pomalou diverzifikací. S tím souvisí špatná dostupnost kvalifikované pracovní síly</w:t>
            </w:r>
            <w:r>
              <w:t>, tvorba kvalifikovaných pracovních míst</w:t>
            </w:r>
            <w:r w:rsidRPr="00C0236B">
              <w:t xml:space="preserve">, </w:t>
            </w:r>
            <w:r>
              <w:t xml:space="preserve">(mj. nesoulad mezi požadavky místních firem a vzdělávacími obory škol), </w:t>
            </w:r>
            <w:r w:rsidRPr="00C0236B">
              <w:t>nižší konkurenceschopnost, nižší mzdy, špatná dostupnost informací o inovacích a zavádění průmyslu 4.0 (</w:t>
            </w:r>
            <w:r>
              <w:t>v této souvislosti</w:t>
            </w:r>
            <w:r w:rsidRPr="00C0236B">
              <w:t xml:space="preserve"> pomalé připojování vysokorychlostního internetu v obcích), nízká informovanost a podpora vědy a výzkumu (přilákání vysoce kvalifikovaných lidí).</w:t>
            </w:r>
            <w:r>
              <w:t xml:space="preserve"> Limitujícím faktorem rozvoje je nevyužití množství zchátralých průmyslových budov a areálů.</w:t>
            </w:r>
          </w:p>
          <w:p w:rsidR="00092492" w:rsidRPr="00B1683A" w:rsidRDefault="00092492" w:rsidP="00CA5B65">
            <w:pPr>
              <w:spacing w:after="0"/>
              <w:rPr>
                <w:b/>
                <w:u w:val="single"/>
              </w:rPr>
            </w:pPr>
            <w:r w:rsidRPr="00B1683A">
              <w:rPr>
                <w:b/>
                <w:u w:val="single"/>
              </w:rPr>
              <w:t>Opatření k naplnění rozvojové potřeby</w:t>
            </w:r>
          </w:p>
          <w:p w:rsidR="00092492" w:rsidRPr="00C0236B" w:rsidRDefault="00092492" w:rsidP="00CA5B65">
            <w:pPr>
              <w:spacing w:after="0"/>
            </w:pPr>
            <w:r>
              <w:rPr>
                <w:b/>
              </w:rPr>
              <w:t xml:space="preserve">A1 </w:t>
            </w:r>
            <w:r w:rsidRPr="004A6CD0">
              <w:rPr>
                <w:b/>
              </w:rPr>
              <w:t>Podpora podnikání</w:t>
            </w:r>
            <w:r w:rsidRPr="00C0236B">
              <w:t xml:space="preserve"> – příprava a realizace koncepční rozvojové strategie pro podnikání na Vltavotýnsku, případně sektorové pro cestovní ruch.</w:t>
            </w:r>
          </w:p>
          <w:p w:rsidR="00092492" w:rsidRDefault="00092492" w:rsidP="00CA5B65">
            <w:pPr>
              <w:spacing w:after="0"/>
            </w:pPr>
            <w:r>
              <w:t xml:space="preserve">Podpora tradičního podnikání a místních produktů a služeb, vytváření obchodních sítí. Rozmanitost podnikatelského prostředí a diverzifikace činností má </w:t>
            </w:r>
            <w:r w:rsidRPr="00C0236B">
              <w:t>vliv na zvyšování zaměstnanosti, trvalé osidlování a udržování života v malých obcích.</w:t>
            </w:r>
            <w:r>
              <w:t xml:space="preserve"> Podpora</w:t>
            </w:r>
            <w:r w:rsidRPr="003149C6">
              <w:t xml:space="preserve"> zakládání a rozvoje především drobných podniků</w:t>
            </w:r>
            <w:r>
              <w:t>, modernizace a rozvoj stávajících podniků. Podpora zavádění inovací a průmyslu 4.0. Podporovat místní výrobky a služby, krátké dodavatelské řetězce, místní spotřebu, diverzifikace činností. Podpora zavádění inovací a vzdělávání, výzkumu a vývoje. Podpora sociálního podnikání. Nové využití brownfieldů. Vytváření nových pracovních příležitostí.</w:t>
            </w:r>
          </w:p>
          <w:p w:rsidR="00092492" w:rsidRDefault="00092492" w:rsidP="00CA5B65">
            <w:pPr>
              <w:spacing w:after="0"/>
            </w:pPr>
            <w:r>
              <w:rPr>
                <w:b/>
              </w:rPr>
              <w:t xml:space="preserve">A2 </w:t>
            </w:r>
            <w:r w:rsidRPr="0045142F">
              <w:rPr>
                <w:b/>
              </w:rPr>
              <w:t>Podpora spolupráce</w:t>
            </w:r>
            <w:r>
              <w:rPr>
                <w:b/>
              </w:rPr>
              <w:t xml:space="preserve"> v podnikání</w:t>
            </w:r>
            <w:r>
              <w:t xml:space="preserve"> – posílení spolupráce s veřejnou správou, společný tlak a postup na zavádění rychlého internetu v obcích (do firem, organizací, škol, rodin).  Spolupráce v oblasti orientace vzdělávání školských zařízení a požadavky místních firem, spolupráce se zřizovateli. Spolupráce v novém využití brownfieldů.</w:t>
            </w:r>
          </w:p>
          <w:p w:rsidR="00092492" w:rsidRDefault="00092492" w:rsidP="00CA5B65">
            <w:pPr>
              <w:spacing w:after="0"/>
            </w:pPr>
            <w:r>
              <w:t>Posílení spolupráce s regionálními partnery – pravidelná setkávání firem s jihočeskými oborovými komorami (např. Jihočeskou hospodářskou komorou, vytvoření poradenského centra, zprostředkování a přístup i informacím, Regionální agrární komorou).</w:t>
            </w:r>
          </w:p>
          <w:p w:rsidR="00092492" w:rsidRDefault="00092492" w:rsidP="00CA5B65">
            <w:pPr>
              <w:spacing w:after="0"/>
            </w:pPr>
            <w:r>
              <w:t>Spolupráce s Jihočeskou</w:t>
            </w:r>
            <w:r w:rsidRPr="0045142F">
              <w:t xml:space="preserve"> agentur</w:t>
            </w:r>
            <w:r>
              <w:t>ou</w:t>
            </w:r>
            <w:r w:rsidRPr="0045142F">
              <w:t xml:space="preserve"> pro podporu inovací,</w:t>
            </w:r>
            <w:r>
              <w:t xml:space="preserve"> přenos informací, přístup do Jihočeského vědeckotechnického parku, inkubátorů, biotechnologií (Jihočeská univerzita).</w:t>
            </w:r>
          </w:p>
          <w:p w:rsidR="00092492" w:rsidRDefault="00092492" w:rsidP="00CA5B65">
            <w:pPr>
              <w:spacing w:after="0"/>
            </w:pPr>
            <w:r>
              <w:t xml:space="preserve">Spolupráce s destinační společností </w:t>
            </w:r>
            <w:r w:rsidRPr="006D519E">
              <w:t>Českobudějovicko-Hlubocko</w:t>
            </w:r>
            <w:r>
              <w:t xml:space="preserve"> v oblasti cestovního ruchu.</w:t>
            </w:r>
          </w:p>
          <w:p w:rsidR="00092492" w:rsidRDefault="00092492" w:rsidP="00CA5B65">
            <w:pPr>
              <w:spacing w:after="0"/>
            </w:pPr>
            <w:r>
              <w:t>Spolupráce s dalšími vědeckovýzkumnými organizacemi a sociálními partnery.</w:t>
            </w:r>
          </w:p>
          <w:p w:rsidR="00092492" w:rsidRPr="00C0236B" w:rsidRDefault="00092492" w:rsidP="00CA5B65">
            <w:pPr>
              <w:spacing w:after="0"/>
            </w:pPr>
            <w:r>
              <w:rPr>
                <w:b/>
              </w:rPr>
              <w:t xml:space="preserve">A3 </w:t>
            </w:r>
            <w:r w:rsidRPr="001B6473">
              <w:rPr>
                <w:b/>
              </w:rPr>
              <w:t>Podpora zemědělství, lesnictví, rybníkářství a včelařství</w:t>
            </w:r>
            <w:r>
              <w:t xml:space="preserve"> – tradiční vysoké zastoupení zemědělsky využívané půdy, rostlinná a živočišná výroba na Vltavotýnsku čelí neustále konkurenci jak ze zahraničí, tak od velkých odbytových podniků.</w:t>
            </w:r>
          </w:p>
          <w:p w:rsidR="00092492" w:rsidRDefault="00092492" w:rsidP="00CA5B65">
            <w:pPr>
              <w:spacing w:after="0"/>
            </w:pPr>
            <w:r>
              <w:t>Je potřeba</w:t>
            </w:r>
            <w:r w:rsidRPr="00C0236B">
              <w:t xml:space="preserve"> podporovat a </w:t>
            </w:r>
            <w:r>
              <w:t>hledat</w:t>
            </w:r>
            <w:r w:rsidRPr="00C0236B">
              <w:t xml:space="preserve"> nové alternativní způsoby podnikání, které se tak mohou stát hlavním zdrojem příjmů v zemědělství. </w:t>
            </w:r>
            <w:r>
              <w:t xml:space="preserve"> Podpora </w:t>
            </w:r>
            <w:r w:rsidRPr="00C0236B">
              <w:t>odbytu produkce, například ekologickým zemědělstvím, agroturistikou nebo ryb</w:t>
            </w:r>
            <w:r>
              <w:t>níkářstvím. R</w:t>
            </w:r>
            <w:r w:rsidRPr="00C0236B">
              <w:t>ybníkářství na Vltavotýnsku má dlouholetou tradici. Jeho udržení a rozvoj poskytne podnikatelům další alternativní zdroj příjmů</w:t>
            </w:r>
            <w:r>
              <w:t xml:space="preserve">. </w:t>
            </w:r>
          </w:p>
          <w:p w:rsidR="00092492" w:rsidRPr="00C0236B" w:rsidRDefault="00092492" w:rsidP="00CA5B65">
            <w:pPr>
              <w:spacing w:after="0"/>
            </w:pPr>
            <w:r>
              <w:t>Podpora včelařství a lesnictví.</w:t>
            </w:r>
          </w:p>
          <w:p w:rsidR="00092492" w:rsidRPr="00BD5B6B" w:rsidRDefault="00092492" w:rsidP="00CA5B65">
            <w:pPr>
              <w:spacing w:after="0"/>
            </w:pPr>
            <w:r>
              <w:t xml:space="preserve">Podpora místních výrobků a služeb v dané oblasti, např. </w:t>
            </w:r>
            <w:r w:rsidRPr="00C0236B">
              <w:t xml:space="preserve">Regionální značka </w:t>
            </w:r>
            <w:r w:rsidRPr="00C002A7">
              <w:t>Vltavotýnsko, která slouží jako známka kvality na trhu i mimo mikroregion.</w:t>
            </w:r>
            <w:r>
              <w:t xml:space="preserve"> Podpora zavádění inovací a vzdělávání. Vytváření pracovních příležitostí.</w:t>
            </w:r>
          </w:p>
        </w:tc>
      </w:tr>
      <w:tr w:rsidR="00092492" w:rsidRPr="00C0236B" w:rsidTr="00CA5B65">
        <w:trPr>
          <w:cantSplit/>
          <w:trHeight w:val="1984"/>
        </w:trPr>
        <w:tc>
          <w:tcPr>
            <w:tcW w:w="704" w:type="dxa"/>
            <w:textDirection w:val="btLr"/>
          </w:tcPr>
          <w:p w:rsidR="00092492" w:rsidRPr="006444A6" w:rsidRDefault="00092492" w:rsidP="00092492">
            <w:pPr>
              <w:pStyle w:val="Odstavecseseznamem"/>
              <w:numPr>
                <w:ilvl w:val="0"/>
                <w:numId w:val="4"/>
              </w:numPr>
              <w:spacing w:after="0"/>
              <w:ind w:right="113"/>
              <w:rPr>
                <w:b/>
              </w:rPr>
            </w:pPr>
            <w:r w:rsidRPr="006444A6">
              <w:rPr>
                <w:b/>
              </w:rPr>
              <w:lastRenderedPageBreak/>
              <w:t>Zkvalitnění podmí</w:t>
            </w:r>
            <w:r>
              <w:rPr>
                <w:b/>
              </w:rPr>
              <w:t xml:space="preserve">nek pro rozvoj lidských zdrojů </w:t>
            </w:r>
            <w:r w:rsidRPr="006444A6">
              <w:rPr>
                <w:b/>
              </w:rPr>
              <w:t>a občanské vybavenosti včetně péče o památky</w:t>
            </w:r>
            <w:r>
              <w:rPr>
                <w:b/>
              </w:rPr>
              <w:t>, veřejné správy</w:t>
            </w:r>
          </w:p>
        </w:tc>
        <w:tc>
          <w:tcPr>
            <w:tcW w:w="8268" w:type="dxa"/>
          </w:tcPr>
          <w:p w:rsidR="00092492" w:rsidRDefault="00092492" w:rsidP="00CA5B65">
            <w:pPr>
              <w:spacing w:after="0"/>
            </w:pPr>
            <w:r>
              <w:t xml:space="preserve">Území MAS Vltava obdobně jako jiné venkovské oblasti nemá takové předpoklady pro svůj endogenní rozvoj, jako je tomu u městských oblastí. Nedostatečná občanská vybavenost a dostupnost služeb obyvatelstvu způsobuje odliv obyvatelstva zejména do Týna nad Vltavou či nedalekého krajského města. Zachování vzdělávacích institucí a jejich rozvoj je stěžejní pro stabilitu celého území. </w:t>
            </w:r>
            <w:r w:rsidRPr="00304557">
              <w:t>Vzdělání obyvatelstva je základním potenciálem pro rozvoj mikroregionu. Dostupnost kvalitního vzdělání všech stupňů a jeho návaznost na možnosti pracovního uplatnění je limitujícím faktorem ovlivňujícím míru odlivu obyvatel z venkova do velkých měst a příměstských lokalit. Stále rostoucí požadavky na odborné znalosti a dovednosti i potřeby aktivního životního stylu vyžadují funkční systém vzdělávání všech věkových kategorií obyvatelstva.</w:t>
            </w:r>
            <w:r>
              <w:t xml:space="preserve"> Je žádoucí při směřování vzdělávání na Vltavotýnsku zapojit školská zařízení, zřizovatele, podniky a další partnery.</w:t>
            </w:r>
          </w:p>
          <w:p w:rsidR="00092492" w:rsidRDefault="00092492" w:rsidP="00CA5B65">
            <w:pPr>
              <w:spacing w:after="0"/>
            </w:pPr>
            <w:r>
              <w:t>Na Vltavotýnsku dlouhodobě běží Místní akční plány vzdělávání pro oblasti školství a P</w:t>
            </w:r>
            <w:r w:rsidRPr="00337625">
              <w:t>lánování sociálních služeb v ORP Týn nad Vltavou</w:t>
            </w:r>
            <w:r>
              <w:t xml:space="preserve"> (území MAS Vltava). </w:t>
            </w:r>
            <w:r w:rsidRPr="00304557">
              <w:t>Spolupráce, kvalitní chod a propracovanost postupů sociálních institucí od veřejné správy až po neziskové organizace poskytující sociální služby je dobrým základem pro uspokojování základních životních potřeb obyvatelstva.</w:t>
            </w:r>
            <w:r>
              <w:t xml:space="preserve"> Na území MAS je potřeba neustále podporovat organizace působící v sociální oblasti, je potřeba řešit otázky sociální bydlení, bydlení mladých rodin, seniorů a další osob ohrožených sociálním vyloučením a nabídnout jim dostupné a kvalitní sociální služby.</w:t>
            </w:r>
          </w:p>
          <w:p w:rsidR="00092492" w:rsidRDefault="00092492" w:rsidP="00CA5B65">
            <w:pPr>
              <w:spacing w:after="0"/>
            </w:pPr>
            <w:r>
              <w:t>Území MAS Vltava se potýká se stárnutím lékařského personálu a absencí mladšího lékařského personálu. Pro nové i stávající lékaře je potřeba zajistit kvalitu</w:t>
            </w:r>
            <w:r w:rsidRPr="00304557">
              <w:t xml:space="preserve"> objektů</w:t>
            </w:r>
            <w:r>
              <w:t xml:space="preserve"> a dostupnost služeb ve zdravotnictví a další občanské vybavenosti zejména s vytvářením podmínek pro lékaře.</w:t>
            </w:r>
          </w:p>
          <w:p w:rsidR="00092492" w:rsidRDefault="00092492" w:rsidP="00CA5B65">
            <w:pPr>
              <w:spacing w:after="0"/>
            </w:pPr>
            <w:r>
              <w:t>Menší obce v území potřebují podporu v oblasti zachování prodejen, pošt a další občanské vybavenosti, aby byl zmírněn odliv mladšího obyvatelstva do měst.</w:t>
            </w:r>
          </w:p>
          <w:p w:rsidR="00092492" w:rsidRDefault="00092492" w:rsidP="00CA5B65">
            <w:pPr>
              <w:spacing w:after="0"/>
            </w:pPr>
            <w:r>
              <w:t xml:space="preserve">V souvislosti se začleněním území do destinační oblasti </w:t>
            </w:r>
            <w:r w:rsidRPr="002F7661">
              <w:t>Českobudějovicko-Hlubocko</w:t>
            </w:r>
            <w:r>
              <w:t xml:space="preserve"> se nabízí nové příležitosti a formy spolupráce v cestovním ruchu a s tím spojené s tvorbou pracovních příležitostí. Předpokladem je vhodná péče o památky a budování a modernizace šetrné turistické infrastruktury. </w:t>
            </w:r>
          </w:p>
          <w:p w:rsidR="00092492" w:rsidRDefault="00092492" w:rsidP="00CA5B65">
            <w:pPr>
              <w:spacing w:after="0"/>
            </w:pPr>
            <w:r>
              <w:t>Dostupnost kvalitního internetového připojení a digitalizace služeb veřejné správy a zkvalitňování služeb veřejné správy včetně zvyšování zapojování občanů do veřejného dění je důležitým aspektem života ve venkovském území. Je potřeba dále podporovat spolupráci obcí na společných projektech.</w:t>
            </w:r>
          </w:p>
          <w:p w:rsidR="00092492" w:rsidRDefault="00092492" w:rsidP="00CA5B65">
            <w:pPr>
              <w:spacing w:after="0"/>
            </w:pPr>
            <w:r>
              <w:t>Veřejná správa je v území zajišťována čtrnácti obcemi. Obce se snaží o všestranný rozvoj svých obcí a spolupracují ve Sdružení měst a obcí Vltava. Obce potřebují zajišťovat investice do obnovy a modernizace majetku, veřejných prostranství a snaží se zkvalitnit poskytované služby a v mnoha oblastech spolupracují.</w:t>
            </w:r>
          </w:p>
          <w:p w:rsidR="00092492" w:rsidRDefault="00092492" w:rsidP="00CA5B65">
            <w:pPr>
              <w:spacing w:after="0"/>
            </w:pPr>
            <w:r>
              <w:t>Krizové řízení spočívá ve snižování majetkové a násilné kriminality, v eliminaci kriminálně rizikových sociálně patologických jevů, v omezování příležitostí k páchání trestné činnosti, ve zvyšování rizika pro pachatele, že bude dopaden, a v informování občanů o legálních možnostech ochrany před trestnou činností.</w:t>
            </w:r>
          </w:p>
          <w:p w:rsidR="00092492" w:rsidRPr="00786AA4" w:rsidRDefault="00092492" w:rsidP="00CA5B65">
            <w:pPr>
              <w:spacing w:after="0"/>
            </w:pPr>
            <w:r>
              <w:t xml:space="preserve">Podpora zapojení klást důraz na preventivní opatření pro mládež (v současnosti nárůst uživatelů drog z řad mládeže) a organizace, které se zabývají organizovanou i neorganizovanou činností pro </w:t>
            </w:r>
            <w:r w:rsidRPr="00786AA4">
              <w:t>děti a mládež, jako významného nástroje snižování trestné činnosti mládeže.</w:t>
            </w:r>
          </w:p>
          <w:p w:rsidR="00092492" w:rsidRPr="00B1683A" w:rsidRDefault="00092492" w:rsidP="00CA5B65">
            <w:pPr>
              <w:spacing w:after="0"/>
              <w:rPr>
                <w:b/>
                <w:u w:val="single"/>
              </w:rPr>
            </w:pPr>
            <w:r w:rsidRPr="00B1683A">
              <w:rPr>
                <w:b/>
                <w:u w:val="single"/>
              </w:rPr>
              <w:t>Opatření k naplnění rozvojové potřeby</w:t>
            </w:r>
          </w:p>
          <w:p w:rsidR="00092492" w:rsidRDefault="00092492" w:rsidP="00CA5B65">
            <w:pPr>
              <w:spacing w:after="0"/>
            </w:pPr>
            <w:r>
              <w:rPr>
                <w:b/>
              </w:rPr>
              <w:t>B1 Zvyšování kvality vzdělávacích objektů a služeb</w:t>
            </w:r>
            <w:r>
              <w:t xml:space="preserve"> – potřeba investic do modernizace škol a školských zařízení včetně podpory budování, modernizace a vybavení dětských skupin, event. jeslí, v některých obcích potom potřeba řešit kapacitu předškolního vzdělávání. Snižování </w:t>
            </w:r>
            <w:r w:rsidRPr="00304557">
              <w:t xml:space="preserve">energetické náročnosti, využívání obnovitelných zdrojů energie, na modernizace vybavení vzdělávacího systému včetně ICT a moderních komunikačních technologií a </w:t>
            </w:r>
            <w:r w:rsidRPr="00304557">
              <w:lastRenderedPageBreak/>
              <w:t xml:space="preserve">modernizaci objektů a vybavení v oblasti lidských zdrojů mimo školský systém. </w:t>
            </w:r>
            <w:r>
              <w:t>Vzdělávání pracovníků v této oblasti.</w:t>
            </w:r>
          </w:p>
          <w:p w:rsidR="00092492" w:rsidRDefault="00092492" w:rsidP="00CA5B65">
            <w:pPr>
              <w:spacing w:after="0"/>
            </w:pPr>
            <w:r>
              <w:rPr>
                <w:b/>
              </w:rPr>
              <w:t>B2 Zvyšování kvality</w:t>
            </w:r>
            <w:r w:rsidRPr="00713542">
              <w:rPr>
                <w:b/>
              </w:rPr>
              <w:t xml:space="preserve"> objektů a vybavenosti v oblasti sociálních služeb</w:t>
            </w:r>
            <w:r>
              <w:t xml:space="preserve"> – potřeba investovat</w:t>
            </w:r>
            <w:r w:rsidRPr="00713542">
              <w:t xml:space="preserve"> do modernizace </w:t>
            </w:r>
            <w:r>
              <w:t xml:space="preserve">a výstavby </w:t>
            </w:r>
            <w:r w:rsidRPr="00713542">
              <w:t>objektů, snižování energetické náročnosti, využívání obnovitelných zdrojů energie, modernizace vybavení v oblasti sociálních služeb včetně ICT a moderních komunikačních technologií</w:t>
            </w:r>
            <w:r>
              <w:t xml:space="preserve">. Potřeba </w:t>
            </w:r>
            <w:r w:rsidRPr="00713542">
              <w:t>sociálního začleňování osob ohrožených sociálním vyloučením</w:t>
            </w:r>
            <w:r>
              <w:t xml:space="preserve"> včetně seniorů</w:t>
            </w:r>
            <w:r w:rsidRPr="00713542">
              <w:t xml:space="preserve"> prostřednictvím podpory budování a rekonstrukce zázemí pro sociální služby, </w:t>
            </w:r>
            <w:r>
              <w:t xml:space="preserve">rozvojem komunitních center, sociálního bydlení, zázemím pro </w:t>
            </w:r>
            <w:r w:rsidRPr="00201EAB">
              <w:t>seniory.</w:t>
            </w:r>
            <w:r>
              <w:t xml:space="preserve"> </w:t>
            </w:r>
            <w:r w:rsidRPr="00201EAB">
              <w:rPr>
                <w:rFonts w:cs="Arial"/>
                <w:lang w:eastAsia="cs-CZ"/>
              </w:rPr>
              <w:t>Podpora spolupráce, kvalitního chodu a propracovanosti postupů sociálních institucí od veřejné správy až po neziskové organizace poskytující sociální služby pro uspokojování základních životních potřeb obyvatelstva.</w:t>
            </w:r>
            <w:r>
              <w:rPr>
                <w:rFonts w:cs="Arial"/>
                <w:lang w:eastAsia="cs-CZ"/>
              </w:rPr>
              <w:t xml:space="preserve"> </w:t>
            </w:r>
            <w:r w:rsidRPr="00201EAB">
              <w:t>Podpora sociálního začleňování osob ohrožených sociálním vyloučením prostřednictvím podpory budování a rekonstrukce zázemí pro sociální služby, budováním, modernizací a vybavení komunitních center.</w:t>
            </w:r>
            <w:r>
              <w:t xml:space="preserve"> Vzdělávání pracovníků v této oblasti.</w:t>
            </w:r>
          </w:p>
          <w:p w:rsidR="00092492" w:rsidRDefault="00092492" w:rsidP="00CA5B65">
            <w:pPr>
              <w:spacing w:after="0"/>
            </w:pPr>
            <w:r>
              <w:rPr>
                <w:b/>
              </w:rPr>
              <w:t>B3 Zvyšování</w:t>
            </w:r>
            <w:r w:rsidRPr="006352C2">
              <w:rPr>
                <w:b/>
              </w:rPr>
              <w:t xml:space="preserve"> objektů a vybavenosti v oblasti zdravotnických služeb </w:t>
            </w:r>
            <w:r>
              <w:t xml:space="preserve">- </w:t>
            </w:r>
            <w:r w:rsidRPr="00E266E1">
              <w:t xml:space="preserve">Zdravotnictví a zdravotnické doprovodné služby na Vltavotýnsku jsou zajištěny. Zdravotnictví se </w:t>
            </w:r>
            <w:r>
              <w:t xml:space="preserve">však </w:t>
            </w:r>
            <w:r w:rsidRPr="00E266E1">
              <w:t>potýká se zastaráváním budov, zdravotnické techniky a s nedostatkem některých odborných lékařů. Tyto faktory snižují celkovou kvalitu zdravotnické péče v mikroregionu. Obyvatelé pak mnohdy hledají kvalitnější péči ve vzdálenějších městech, pro starší generaci je toto řešení obtížné.</w:t>
            </w:r>
            <w:r>
              <w:t xml:space="preserve"> Podporovány budou investice do výstavby a modernizace zdravotnických zařízení i s ohledem na stárnutí obyvatelstva. Vzdělávání pracovníků v této oblasti.</w:t>
            </w:r>
          </w:p>
          <w:p w:rsidR="00092492" w:rsidRDefault="00092492" w:rsidP="00CA5B65">
            <w:pPr>
              <w:spacing w:after="0"/>
            </w:pPr>
            <w:r w:rsidRPr="00F64E90">
              <w:rPr>
                <w:b/>
              </w:rPr>
              <w:t>B4 Zvyšování zaměstnanosti</w:t>
            </w:r>
            <w:r>
              <w:t xml:space="preserve"> – přestože území MAS Vltava vykazuje nižší míru nezaměstnanosti, podporou vzniku nových podnikatelských subjektů, podporou stávajících včetně rozšiřování jejich činnosti přispívá k vytváření nových pracovních příležitostí včetně osob ohrožených sociálním vyloučením.</w:t>
            </w:r>
          </w:p>
          <w:p w:rsidR="00092492" w:rsidRDefault="00092492" w:rsidP="00CA5B65">
            <w:pPr>
              <w:spacing w:after="0"/>
            </w:pPr>
            <w:r>
              <w:rPr>
                <w:b/>
              </w:rPr>
              <w:t xml:space="preserve">B5 </w:t>
            </w:r>
            <w:r w:rsidRPr="000F5FD6">
              <w:rPr>
                <w:b/>
              </w:rPr>
              <w:t>Zkvalitnění péče o památky a jejich zázemí</w:t>
            </w:r>
            <w:r>
              <w:t xml:space="preserve"> – památky různého významu jsou součástí kulturního dědictví venkova. Jejich údržba a upravené okolí přispívají k atraktivitě místa a mnohdy jsou zdrojem hlavních příjmů či doplňkových příjmů, vytváří multiplikační ekonomický efekt.</w:t>
            </w:r>
          </w:p>
          <w:p w:rsidR="00092492" w:rsidRDefault="00092492" w:rsidP="00CA5B65">
            <w:pPr>
              <w:spacing w:after="0"/>
              <w:rPr>
                <w:rFonts w:cs="Arial"/>
                <w:b/>
                <w:lang w:eastAsia="cs-CZ"/>
              </w:rPr>
            </w:pPr>
            <w:r>
              <w:rPr>
                <w:rFonts w:cs="Arial"/>
                <w:b/>
                <w:lang w:eastAsia="cs-CZ"/>
              </w:rPr>
              <w:t xml:space="preserve">B6 </w:t>
            </w:r>
            <w:r w:rsidRPr="00A117F7">
              <w:rPr>
                <w:rFonts w:cs="Arial"/>
                <w:b/>
                <w:lang w:eastAsia="cs-CZ"/>
              </w:rPr>
              <w:t>Zlepšení podmínek pro cestovní ruch</w:t>
            </w:r>
            <w:r>
              <w:rPr>
                <w:rFonts w:cs="Arial"/>
                <w:b/>
                <w:lang w:eastAsia="cs-CZ"/>
              </w:rPr>
              <w:t xml:space="preserve"> </w:t>
            </w:r>
          </w:p>
          <w:p w:rsidR="00092492" w:rsidRDefault="00092492" w:rsidP="00CA5B65">
            <w:pPr>
              <w:spacing w:after="0"/>
              <w:rPr>
                <w:rFonts w:cs="Arial"/>
                <w:lang w:eastAsia="cs-CZ"/>
              </w:rPr>
            </w:pPr>
            <w:r>
              <w:rPr>
                <w:rFonts w:cs="Arial"/>
                <w:lang w:eastAsia="cs-CZ"/>
              </w:rPr>
              <w:t xml:space="preserve">Území MAS Vltava nepatří mezi turisticky exponované oblasti, v současné době je však součástí destinační oblasti a nabízí se zde příležitost rozvoje v této oblasti a tvorby pracovních příležitostí. Příležitost navíc nabízí i splavnění řeky Vltavy protékající územím MAS. Je potřeba budovat kapacity pro řízený cestovní ruch, podporovat nabídku místních výrobků a služeb i v podobě turistických balíčků, budovat šetrnou turistickou infrastrukturu. </w:t>
            </w:r>
          </w:p>
          <w:p w:rsidR="00092492" w:rsidRDefault="00092492" w:rsidP="00CA5B65">
            <w:pPr>
              <w:spacing w:after="0"/>
            </w:pPr>
            <w:r>
              <w:rPr>
                <w:b/>
              </w:rPr>
              <w:t xml:space="preserve">B7 </w:t>
            </w:r>
            <w:r w:rsidRPr="004629C8">
              <w:rPr>
                <w:b/>
              </w:rPr>
              <w:t>Zajištění d</w:t>
            </w:r>
            <w:r>
              <w:rPr>
                <w:b/>
              </w:rPr>
              <w:t xml:space="preserve">ostupnosti ostatní občanské vybavenosti </w:t>
            </w:r>
            <w:r>
              <w:t>– podpora zajištění ostatní občanské vybavenosti, jako jsou venkovské prodejny, poštovní služby a další.</w:t>
            </w:r>
          </w:p>
          <w:p w:rsidR="00092492" w:rsidRPr="00786AA4" w:rsidRDefault="00092492" w:rsidP="00CA5B65">
            <w:pPr>
              <w:spacing w:after="0"/>
              <w:rPr>
                <w:rFonts w:cs="Arial"/>
                <w:lang w:eastAsia="cs-CZ"/>
              </w:rPr>
            </w:pPr>
            <w:r>
              <w:rPr>
                <w:rFonts w:cs="Arial"/>
                <w:b/>
                <w:lang w:eastAsia="cs-CZ"/>
              </w:rPr>
              <w:t xml:space="preserve">B8 </w:t>
            </w:r>
            <w:r w:rsidRPr="00786AA4">
              <w:rPr>
                <w:rFonts w:cs="Arial"/>
                <w:b/>
                <w:lang w:eastAsia="cs-CZ"/>
              </w:rPr>
              <w:t xml:space="preserve">Zvýšení dostupnosti a kvality služeb poskytovaných veřejnou správou - </w:t>
            </w:r>
            <w:r w:rsidRPr="00786AA4">
              <w:rPr>
                <w:rFonts w:cs="Arial"/>
                <w:lang w:eastAsia="cs-CZ"/>
              </w:rPr>
              <w:t>investice do vzdělávání zaměstnanců a představitelů obcí a svazků obcí, poradenství, investice do majetku a vybavení, elektronizace veřejné správy a na spolupráci obcí a svazků obcí, inovativní přístupy.</w:t>
            </w:r>
          </w:p>
          <w:p w:rsidR="00092492" w:rsidRPr="00681EDE" w:rsidRDefault="00092492" w:rsidP="00CA5B65">
            <w:pPr>
              <w:spacing w:after="0"/>
              <w:rPr>
                <w:b/>
                <w:lang w:eastAsia="cs-CZ"/>
              </w:rPr>
            </w:pPr>
            <w:r>
              <w:rPr>
                <w:b/>
                <w:lang w:eastAsia="cs-CZ"/>
              </w:rPr>
              <w:t xml:space="preserve">B9 </w:t>
            </w:r>
            <w:r w:rsidRPr="00786AA4">
              <w:rPr>
                <w:b/>
                <w:lang w:eastAsia="cs-CZ"/>
              </w:rPr>
              <w:t xml:space="preserve">Krizové řízení - </w:t>
            </w:r>
            <w:r w:rsidRPr="00786AA4">
              <w:rPr>
                <w:lang w:eastAsia="cs-CZ"/>
              </w:rPr>
              <w:t>spolupráce obcí v oblasti krizového řízení, podporu IZS a preventivní opatření.</w:t>
            </w:r>
          </w:p>
        </w:tc>
      </w:tr>
      <w:tr w:rsidR="00092492" w:rsidRPr="00C0236B" w:rsidTr="00CA5B65">
        <w:trPr>
          <w:cantSplit/>
          <w:trHeight w:val="5374"/>
        </w:trPr>
        <w:tc>
          <w:tcPr>
            <w:tcW w:w="704" w:type="dxa"/>
            <w:textDirection w:val="btLr"/>
          </w:tcPr>
          <w:p w:rsidR="00092492" w:rsidRPr="00405117" w:rsidRDefault="00092492" w:rsidP="00092492">
            <w:pPr>
              <w:pStyle w:val="Odstavecseseznamem"/>
              <w:numPr>
                <w:ilvl w:val="0"/>
                <w:numId w:val="4"/>
              </w:numPr>
              <w:spacing w:after="0"/>
              <w:ind w:right="113"/>
              <w:rPr>
                <w:b/>
              </w:rPr>
            </w:pPr>
            <w:r w:rsidRPr="00405117">
              <w:rPr>
                <w:b/>
              </w:rPr>
              <w:lastRenderedPageBreak/>
              <w:t>Zkvalitnění stavu infrastruktury a životního prostředí</w:t>
            </w:r>
          </w:p>
        </w:tc>
        <w:tc>
          <w:tcPr>
            <w:tcW w:w="8268" w:type="dxa"/>
          </w:tcPr>
          <w:p w:rsidR="00092492" w:rsidRPr="00405117" w:rsidRDefault="00092492" w:rsidP="00CA5B65">
            <w:pPr>
              <w:spacing w:after="0"/>
            </w:pPr>
            <w:r w:rsidRPr="00405117">
              <w:t xml:space="preserve">Jedním z předpokladů rozvoje </w:t>
            </w:r>
            <w:r>
              <w:t>území MAS Vltava</w:t>
            </w:r>
            <w:r w:rsidRPr="00405117">
              <w:t xml:space="preserve"> je podpora kvalitní venkovské infrastruktury. Podpora budování a rekonstrukce základní technické vybavenosti obcí </w:t>
            </w:r>
            <w:r>
              <w:t>v území</w:t>
            </w:r>
            <w:r w:rsidRPr="00405117">
              <w:t xml:space="preserve"> přispěje k vyšší kvalitě života na venkově a k základnímu zajištění spokojenosti obyvatel.</w:t>
            </w:r>
            <w:r>
              <w:t xml:space="preserve"> Území se potýká s chybějící, nedokončenou infrastrukturou či je potřeba její oprava nebo modernizace (cestní sítě a silnice, chodníky, vodovody, kanalizace, internet rozvojových ploch apod.). Jedním z důvodu je vysoká finanční náročnost.</w:t>
            </w:r>
          </w:p>
          <w:p w:rsidR="00092492" w:rsidRDefault="00092492" w:rsidP="00CA5B65">
            <w:pPr>
              <w:spacing w:after="0"/>
            </w:pPr>
            <w:r w:rsidRPr="00405117">
              <w:t>Péče o krajinu</w:t>
            </w:r>
            <w:r>
              <w:t xml:space="preserve"> </w:t>
            </w:r>
            <w:r w:rsidRPr="00405117">
              <w:t>přispěje k jejímu hospodárnému využívání, k harmonizaci a propojení jejích složek a rozvoji jejích funkcí. Vylepší svázanost krajiny s činností člověka jeho zásahy v rámci hospodaření a využívání krajiny k jeho prospěchu.</w:t>
            </w:r>
          </w:p>
          <w:p w:rsidR="00092492" w:rsidRDefault="00092492" w:rsidP="00CA5B65">
            <w:pPr>
              <w:spacing w:after="0"/>
              <w:rPr>
                <w:b/>
              </w:rPr>
            </w:pPr>
            <w:r>
              <w:rPr>
                <w:b/>
              </w:rPr>
              <w:t xml:space="preserve">C1 Zkvalitnění </w:t>
            </w:r>
            <w:r w:rsidRPr="00F220EE">
              <w:rPr>
                <w:b/>
              </w:rPr>
              <w:t xml:space="preserve">dopravní </w:t>
            </w:r>
            <w:r>
              <w:rPr>
                <w:b/>
              </w:rPr>
              <w:t xml:space="preserve">infrastruktury </w:t>
            </w:r>
          </w:p>
          <w:p w:rsidR="00092492" w:rsidRDefault="00092492" w:rsidP="00CA5B65">
            <w:pPr>
              <w:spacing w:after="0"/>
            </w:pPr>
            <w:r w:rsidRPr="0068064C">
              <w:rPr>
                <w:u w:val="single"/>
              </w:rPr>
              <w:t>Podpora výstavby a modernizace dopravní a cestní sítě</w:t>
            </w:r>
            <w:r>
              <w:t xml:space="preserve"> na území MAS Vltava </w:t>
            </w:r>
            <w:r w:rsidRPr="00F220EE">
              <w:t xml:space="preserve">včetně jejího napojení na hlavní dopravní komunikace spojující </w:t>
            </w:r>
            <w:r>
              <w:t>území</w:t>
            </w:r>
            <w:r w:rsidRPr="00F220EE">
              <w:t xml:space="preserve"> s okolními mikroregiony a většími městy. Zároveň se zaměřuje na podporu vybavenosti v souvislosti s užíváním dopravní a cestní sítě a mobilních prostředků.</w:t>
            </w:r>
            <w:r>
              <w:t xml:space="preserve"> </w:t>
            </w:r>
          </w:p>
          <w:p w:rsidR="00092492" w:rsidRDefault="00092492" w:rsidP="00CA5B65">
            <w:pPr>
              <w:spacing w:after="0"/>
            </w:pPr>
            <w:r w:rsidRPr="0068064C">
              <w:rPr>
                <w:u w:val="single"/>
              </w:rPr>
              <w:t>Podpora výstavby a modernizace chodníků, pěších stezek a cyklostezek, modernizace a výstavba komunikací</w:t>
            </w:r>
            <w:r>
              <w:t xml:space="preserve"> (silnice, železnice, řeka).</w:t>
            </w:r>
          </w:p>
          <w:p w:rsidR="00092492" w:rsidRDefault="00092492" w:rsidP="00CA5B65">
            <w:pPr>
              <w:spacing w:after="0"/>
              <w:rPr>
                <w:b/>
              </w:rPr>
            </w:pPr>
            <w:r>
              <w:rPr>
                <w:b/>
              </w:rPr>
              <w:t>C2 Zkvalitnění technické infrastruktury</w:t>
            </w:r>
          </w:p>
          <w:p w:rsidR="00092492" w:rsidRDefault="00092492" w:rsidP="00CA5B65">
            <w:pPr>
              <w:spacing w:after="0"/>
            </w:pPr>
            <w:r>
              <w:rPr>
                <w:u w:val="single"/>
              </w:rPr>
              <w:t>P</w:t>
            </w:r>
            <w:r w:rsidRPr="00A03837">
              <w:rPr>
                <w:u w:val="single"/>
              </w:rPr>
              <w:t>odpora výstavby a modernizace ČOV a kanalizace včetně kanalizace dešťové</w:t>
            </w:r>
            <w:r>
              <w:t>. P</w:t>
            </w:r>
            <w:r w:rsidRPr="00A03837">
              <w:t>říprava studií a koncepcí odpadového hospodářství, podpora recyklace odpadků, podpora systému separace odpadů, energetické využití odpadů, vzdělávací a informační akce včetně poradenství v odpadovém hospodářství, podpora inovativních postupů a přístupů v odpadovém hospodářství, podpora spolupráce v odpadovém hospodářství na horizontální i vertikální úrovni, spolupráce soukromého a veřejného sektoru, výstavba, modernizace zařízení a vybavení odpadového hospodářství</w:t>
            </w:r>
            <w:r>
              <w:t>.</w:t>
            </w:r>
          </w:p>
          <w:p w:rsidR="00092492" w:rsidRDefault="00092492" w:rsidP="00CA5B65">
            <w:pPr>
              <w:spacing w:after="0"/>
            </w:pPr>
            <w:r w:rsidRPr="00A03837">
              <w:rPr>
                <w:u w:val="single"/>
              </w:rPr>
              <w:t>Podpora výstavby a modernizace vodovodů a zdrojů pitné vody</w:t>
            </w:r>
          </w:p>
          <w:p w:rsidR="00092492" w:rsidRDefault="00092492" w:rsidP="00CA5B65">
            <w:pPr>
              <w:spacing w:after="0"/>
            </w:pPr>
            <w:r w:rsidRPr="00A03837">
              <w:rPr>
                <w:u w:val="single"/>
              </w:rPr>
              <w:t>Podpora výstavby a modernizace distribučních sítí elektrické energie, tepla, plynu a digitálních sítí (i s ohledem na Průmysl 4.0, chytrý venkov</w:t>
            </w:r>
            <w:r>
              <w:rPr>
                <w:u w:val="single"/>
              </w:rPr>
              <w:t xml:space="preserve"> 3.0 a výše</w:t>
            </w:r>
            <w:r>
              <w:t>)</w:t>
            </w:r>
            <w:r w:rsidRPr="00E93586">
              <w:t>, zpracování nezbytných analýz a studií a projektových dokumentací.</w:t>
            </w:r>
            <w:r>
              <w:t xml:space="preserve"> </w:t>
            </w:r>
          </w:p>
          <w:p w:rsidR="00092492" w:rsidRPr="00651111" w:rsidRDefault="00092492" w:rsidP="00CA5B65">
            <w:pPr>
              <w:spacing w:after="0"/>
              <w:rPr>
                <w:b/>
              </w:rPr>
            </w:pPr>
            <w:r w:rsidRPr="00651111">
              <w:rPr>
                <w:b/>
              </w:rPr>
              <w:t>C3 Efektivní nakládání s biomasou</w:t>
            </w:r>
          </w:p>
          <w:p w:rsidR="00092492" w:rsidRDefault="00092492" w:rsidP="00CA5B65">
            <w:pPr>
              <w:spacing w:after="0"/>
            </w:pPr>
            <w:r>
              <w:t>P</w:t>
            </w:r>
            <w:r w:rsidRPr="0068064C">
              <w:t>odpora systémů pro efektivní využití biomasy, investice do zařízení v souvislosti s biomasou, podpora inovativních postupů a přístupů v oblasti nakládání s</w:t>
            </w:r>
            <w:r>
              <w:t> </w:t>
            </w:r>
            <w:r w:rsidRPr="0068064C">
              <w:t>biomasou</w:t>
            </w:r>
            <w:r>
              <w:t>.</w:t>
            </w:r>
          </w:p>
          <w:p w:rsidR="00092492" w:rsidRPr="00651111" w:rsidRDefault="00092492" w:rsidP="00CA5B65">
            <w:pPr>
              <w:spacing w:after="0"/>
              <w:rPr>
                <w:b/>
              </w:rPr>
            </w:pPr>
            <w:r w:rsidRPr="00651111">
              <w:rPr>
                <w:b/>
              </w:rPr>
              <w:t>C4 Příprava nových ploch a revitalizace stávající ploch</w:t>
            </w:r>
          </w:p>
          <w:p w:rsidR="00092492" w:rsidRDefault="00092492" w:rsidP="00CA5B65">
            <w:pPr>
              <w:spacing w:after="0"/>
              <w:rPr>
                <w:u w:val="single"/>
              </w:rPr>
            </w:pPr>
            <w:r>
              <w:t>Podpora v</w:t>
            </w:r>
            <w:r w:rsidRPr="00A03837">
              <w:t>ýstavb</w:t>
            </w:r>
            <w:r>
              <w:t>y rodinných domů, občanské</w:t>
            </w:r>
            <w:r w:rsidRPr="00A03837">
              <w:t xml:space="preserve"> vybavenost</w:t>
            </w:r>
            <w:r>
              <w:t>i</w:t>
            </w:r>
            <w:r w:rsidRPr="00A03837">
              <w:t xml:space="preserve"> a podnikání, regenerace a modernizace ploch </w:t>
            </w:r>
            <w:r w:rsidRPr="00A03837">
              <w:rPr>
                <w:u w:val="single"/>
              </w:rPr>
              <w:t>v souladu s požadavky územních plánů obcí.</w:t>
            </w:r>
          </w:p>
          <w:p w:rsidR="00092492" w:rsidRPr="002551F6" w:rsidRDefault="00092492" w:rsidP="00CA5B65">
            <w:pPr>
              <w:spacing w:after="0"/>
              <w:rPr>
                <w:b/>
              </w:rPr>
            </w:pPr>
            <w:r w:rsidRPr="002551F6">
              <w:rPr>
                <w:b/>
              </w:rPr>
              <w:t xml:space="preserve">C5 Péče o životní prostředí </w:t>
            </w:r>
          </w:p>
          <w:p w:rsidR="00092492" w:rsidRPr="008064FC" w:rsidRDefault="00092492" w:rsidP="00CA5B65">
            <w:pPr>
              <w:spacing w:after="0"/>
            </w:pPr>
            <w:r>
              <w:t>Pokračování ve snižování emisí v různých formách (zejména v menších obcích náhrada starých kotlů na tuhá paliva), využívání OZE, dešťové vody, včetně osvěty. Příležitost veřejných prostranství při zlepšování klimatu.</w:t>
            </w:r>
          </w:p>
          <w:p w:rsidR="00092492" w:rsidRPr="002551F6" w:rsidRDefault="00092492" w:rsidP="00CA5B65">
            <w:pPr>
              <w:spacing w:after="0"/>
              <w:rPr>
                <w:b/>
              </w:rPr>
            </w:pPr>
            <w:r w:rsidRPr="002551F6">
              <w:rPr>
                <w:b/>
              </w:rPr>
              <w:t xml:space="preserve">C6 Podpora údržby krajiny a biodiverzita </w:t>
            </w:r>
          </w:p>
          <w:p w:rsidR="00092492" w:rsidRPr="004629C8" w:rsidRDefault="00092492" w:rsidP="00CA5B65">
            <w:pPr>
              <w:spacing w:after="0"/>
              <w:rPr>
                <w:b/>
              </w:rPr>
            </w:pPr>
            <w:r>
              <w:t>P</w:t>
            </w:r>
            <w:r w:rsidRPr="00897B70">
              <w:t>říprava studií a koncepcí údržby krajiny a biodiverzity</w:t>
            </w:r>
            <w:r>
              <w:t xml:space="preserve">, </w:t>
            </w:r>
            <w:r w:rsidRPr="00897B70">
              <w:t>p</w:t>
            </w:r>
            <w:r>
              <w:t xml:space="preserve">odpora přirozené údržby krajiny, územního plánování, </w:t>
            </w:r>
            <w:r w:rsidRPr="00897B70">
              <w:t>podpora biodiverzity.</w:t>
            </w:r>
            <w:r>
              <w:t xml:space="preserve"> P</w:t>
            </w:r>
            <w:r w:rsidRPr="00897B70">
              <w:t>odpora spolupráce v oblasti přirozené údržby krajiny a biodiverzity na horizontální i vertikální úrovni, spolupráce soukromého a veřejného sektoru.</w:t>
            </w:r>
            <w:r>
              <w:t xml:space="preserve"> P</w:t>
            </w:r>
            <w:r w:rsidRPr="00897B70">
              <w:t>odpora vzdělávacích a informačních akcí včetně poradenství v oblasti přirozené údržby krajiny a biodiverzity.</w:t>
            </w:r>
          </w:p>
        </w:tc>
      </w:tr>
      <w:tr w:rsidR="00092492" w:rsidRPr="00C0236B" w:rsidTr="00CA5B65">
        <w:trPr>
          <w:cantSplit/>
          <w:trHeight w:val="5374"/>
        </w:trPr>
        <w:tc>
          <w:tcPr>
            <w:tcW w:w="704" w:type="dxa"/>
            <w:textDirection w:val="btLr"/>
          </w:tcPr>
          <w:p w:rsidR="00092492" w:rsidRPr="00405117" w:rsidRDefault="00092492" w:rsidP="00092492">
            <w:pPr>
              <w:pStyle w:val="Odstavecseseznamem"/>
              <w:numPr>
                <w:ilvl w:val="0"/>
                <w:numId w:val="4"/>
              </w:numPr>
              <w:spacing w:after="0"/>
              <w:ind w:right="113"/>
              <w:rPr>
                <w:b/>
              </w:rPr>
            </w:pPr>
            <w:r>
              <w:rPr>
                <w:b/>
              </w:rPr>
              <w:lastRenderedPageBreak/>
              <w:t xml:space="preserve">Zkvalitnění a zlepšení spolkové, kulturní, komunitní činnosti </w:t>
            </w:r>
          </w:p>
        </w:tc>
        <w:tc>
          <w:tcPr>
            <w:tcW w:w="8268" w:type="dxa"/>
          </w:tcPr>
          <w:p w:rsidR="00092492" w:rsidRDefault="00092492" w:rsidP="00CA5B65">
            <w:pPr>
              <w:spacing w:after="0"/>
            </w:pPr>
            <w:r>
              <w:t>Spokojenost obyvatel a návštěvníků záleží na kvalitě a úrovni poskytovaných služeb subjekty působícími na Vltavotýnsku, na plánované a koordinované spolupráci podnikatelů, fungování místního informačního centra, na ucelených propagačních materiálech, na široké nabídce kulturního a sportovního a komunitního vyžití, a další aktivní relaxace.</w:t>
            </w:r>
          </w:p>
          <w:p w:rsidR="00092492" w:rsidRDefault="00092492" w:rsidP="00CA5B65">
            <w:pPr>
              <w:spacing w:after="0"/>
            </w:pPr>
            <w:r>
              <w:t>Základním předpokladem pro spokojený život obyvatel na Vltavotýnsku je dostatečná a kvalitní nabídka nejrůznějších kulturních, sportovních, komunitních, vzdělávacích a dalších společenských, zájmových a volnočasových akcí a aktivit. Nedílnou součástí života na venkově je zároveň udržování tradic a povědomí o historii města, obce i celého regionu, které spolu s péčí o historické dědictví přispívá k posilování sounáležitosti obyvatel s místem, kde žijí. To vše významnou měrou působí na stabilitu trvalého osídlení venkovských oblastí.</w:t>
            </w:r>
          </w:p>
          <w:p w:rsidR="00092492" w:rsidRDefault="00092492" w:rsidP="00CA5B65">
            <w:pPr>
              <w:spacing w:after="0"/>
            </w:pPr>
            <w:r>
              <w:t>Pestrost místního dění svou činností ovlivňují nejen obce v území, především je zásadní měrou udávána aktivitou, zájmem a angažovaností místních obyvatel ve veřejném a komunitním životě, společenských událostech, společných i individuálních volnočasových a zájmových činnostech. Formální i volná, více či méně profesionální uskupení občanů hrají nenahraditelnou úlohu v oblasti kulturního, komunitního a sportovního dění, péče o životní prostředí, práce s mládeží a dalších sférách nezbytných pro spokojený život a rozvoj obcí, a přispívají ke zvýšení cestovního ruchu.</w:t>
            </w:r>
          </w:p>
          <w:p w:rsidR="00092492" w:rsidRPr="0052380A" w:rsidRDefault="00092492" w:rsidP="00CA5B65">
            <w:pPr>
              <w:spacing w:after="0"/>
              <w:rPr>
                <w:b/>
              </w:rPr>
            </w:pPr>
            <w:r w:rsidRPr="0052380A">
              <w:rPr>
                <w:b/>
              </w:rPr>
              <w:t>D1 Podpora spolkové, kulturní, komunitní činnosti</w:t>
            </w:r>
          </w:p>
          <w:p w:rsidR="00092492" w:rsidRPr="00405117" w:rsidRDefault="00092492" w:rsidP="00CA5B65">
            <w:pPr>
              <w:spacing w:after="0"/>
            </w:pPr>
            <w:r w:rsidRPr="0052380A">
              <w:t>Budování a modernizaci kapacit pro kulturu, spor, volný čas a dalších aktivit včetně potřebného vybavení a podpory činnosti.</w:t>
            </w:r>
          </w:p>
        </w:tc>
      </w:tr>
    </w:tbl>
    <w:p w:rsidR="00092492" w:rsidRPr="00210F1B" w:rsidRDefault="00092492" w:rsidP="00092492">
      <w:pPr>
        <w:rPr>
          <w:rFonts w:ascii="Arial" w:hAnsi="Arial" w:cs="Arial"/>
        </w:rPr>
      </w:pPr>
    </w:p>
    <w:p w:rsidR="00092492" w:rsidRDefault="00092492" w:rsidP="00092492">
      <w:pPr>
        <w:tabs>
          <w:tab w:val="left" w:pos="426"/>
        </w:tabs>
        <w:rPr>
          <w:rFonts w:cs="Arial"/>
        </w:rPr>
      </w:pPr>
      <w:r w:rsidRPr="005630E3">
        <w:rPr>
          <w:rFonts w:cs="Arial"/>
        </w:rPr>
        <w:t xml:space="preserve">Analýza </w:t>
      </w:r>
      <w:r>
        <w:rPr>
          <w:rFonts w:cs="Arial"/>
        </w:rPr>
        <w:t xml:space="preserve">rozvojových </w:t>
      </w:r>
      <w:r w:rsidRPr="005630E3">
        <w:rPr>
          <w:rFonts w:cs="Arial"/>
        </w:rPr>
        <w:t xml:space="preserve">potřeb není navázána primárně jen </w:t>
      </w:r>
      <w:r>
        <w:rPr>
          <w:rFonts w:cs="Arial"/>
        </w:rPr>
        <w:t>nedostatky v území</w:t>
      </w:r>
      <w:r w:rsidRPr="005630E3">
        <w:rPr>
          <w:rFonts w:cs="Arial"/>
        </w:rPr>
        <w:t>. Pot</w:t>
      </w:r>
      <w:r>
        <w:rPr>
          <w:rFonts w:cs="Arial"/>
        </w:rPr>
        <w:t>řeby jsou vázané i na</w:t>
      </w:r>
      <w:r w:rsidRPr="005630E3">
        <w:rPr>
          <w:rFonts w:cs="Arial"/>
        </w:rPr>
        <w:t xml:space="preserve"> udržitelnost </w:t>
      </w:r>
      <w:r>
        <w:rPr>
          <w:rFonts w:cs="Arial"/>
        </w:rPr>
        <w:t>a rozvoj toho, co se osvědčilo a využití příležitostí</w:t>
      </w:r>
      <w:r w:rsidRPr="005630E3">
        <w:rPr>
          <w:rFonts w:cs="Arial"/>
        </w:rPr>
        <w:t>.</w:t>
      </w:r>
    </w:p>
    <w:p w:rsidR="00092492" w:rsidRPr="005630E3" w:rsidRDefault="00092492" w:rsidP="00092492">
      <w:pPr>
        <w:rPr>
          <w:rFonts w:cs="Arial"/>
        </w:rPr>
      </w:pPr>
      <w:r>
        <w:rPr>
          <w:rFonts w:cs="Arial"/>
        </w:rPr>
        <w:t>Absorpční kapacita</w:t>
      </w:r>
      <w:r w:rsidRPr="005630E3">
        <w:rPr>
          <w:rFonts w:cs="Arial"/>
        </w:rPr>
        <w:t xml:space="preserve"> území </w:t>
      </w:r>
      <w:r>
        <w:rPr>
          <w:rFonts w:cs="Arial"/>
        </w:rPr>
        <w:t>MAS Vltava</w:t>
      </w:r>
      <w:r w:rsidRPr="005630E3">
        <w:rPr>
          <w:rFonts w:cs="Arial"/>
        </w:rPr>
        <w:t xml:space="preserve"> se prokázala již při realizaci Strategie komunitně vedeného místního rozvoje (SCLLD) pro území MAS Vltava 2014 - 2020. Mnoho projektových námětů také žadatelé odložili na programovací období 2021 - 2027. Problémy a potřeby území se v čase vyvíjejí, ale obecně zůstávají konzistentní.</w:t>
      </w:r>
    </w:p>
    <w:p w:rsidR="00F1162A" w:rsidRDefault="00F1162A"/>
    <w:sectPr w:rsidR="00F116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02" w:rsidRDefault="00161202" w:rsidP="00092492">
      <w:pPr>
        <w:spacing w:after="0"/>
      </w:pPr>
      <w:r>
        <w:separator/>
      </w:r>
    </w:p>
  </w:endnote>
  <w:endnote w:type="continuationSeparator" w:id="0">
    <w:p w:rsidR="00161202" w:rsidRDefault="00161202" w:rsidP="00092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02" w:rsidRDefault="00161202" w:rsidP="00092492">
      <w:pPr>
        <w:spacing w:after="0"/>
      </w:pPr>
      <w:r>
        <w:separator/>
      </w:r>
    </w:p>
  </w:footnote>
  <w:footnote w:type="continuationSeparator" w:id="0">
    <w:p w:rsidR="00161202" w:rsidRDefault="00161202" w:rsidP="00092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D0" w:rsidRDefault="005412D0">
    <w:pPr>
      <w:pStyle w:val="Zhlav"/>
      <w:rPr>
        <w:rFonts w:ascii="Arial" w:hAnsi="Arial" w:cs="Arial"/>
      </w:rPr>
    </w:pPr>
    <w:bookmarkStart w:id="1" w:name="_Toc68694420"/>
    <w:r w:rsidRPr="00A72C19">
      <w:rPr>
        <w:rFonts w:ascii="Arial" w:hAnsi="Arial" w:cs="Arial"/>
      </w:rPr>
      <w:t>Analýza rozvojových potřeb a rozvojového potenciálu území působnosti MAS</w:t>
    </w:r>
    <w:bookmarkEnd w:id="1"/>
    <w:r>
      <w:rPr>
        <w:rFonts w:ascii="Arial" w:hAnsi="Arial" w:cs="Arial"/>
      </w:rPr>
      <w:t xml:space="preserve"> Vltava 21+</w:t>
    </w:r>
  </w:p>
  <w:tbl>
    <w:tblPr>
      <w:tblStyle w:val="Mkatabulky"/>
      <w:tblW w:w="0" w:type="auto"/>
      <w:tblLook w:val="04A0" w:firstRow="1" w:lastRow="0" w:firstColumn="1" w:lastColumn="0" w:noHBand="0" w:noVBand="1"/>
    </w:tblPr>
    <w:tblGrid>
      <w:gridCol w:w="2547"/>
      <w:gridCol w:w="6515"/>
    </w:tblGrid>
    <w:tr w:rsidR="005412D0" w:rsidTr="005412D0">
      <w:tc>
        <w:tcPr>
          <w:tcW w:w="2547" w:type="dxa"/>
        </w:tcPr>
        <w:p w:rsidR="005412D0" w:rsidRDefault="005412D0">
          <w:pPr>
            <w:pStyle w:val="Zhlav"/>
          </w:pPr>
          <w:r>
            <w:t>Rozvojová potřeba</w:t>
          </w:r>
        </w:p>
      </w:tc>
      <w:tc>
        <w:tcPr>
          <w:tcW w:w="6515" w:type="dxa"/>
        </w:tcPr>
        <w:p w:rsidR="005412D0" w:rsidRDefault="005412D0">
          <w:pPr>
            <w:pStyle w:val="Zhlav"/>
          </w:pPr>
          <w:r>
            <w:t>Popis</w:t>
          </w:r>
        </w:p>
      </w:tc>
    </w:tr>
  </w:tbl>
  <w:p w:rsidR="005412D0" w:rsidRDefault="005412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5CF7"/>
    <w:multiLevelType w:val="multilevel"/>
    <w:tmpl w:val="5D088110"/>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DAA6F8E"/>
    <w:multiLevelType w:val="hybridMultilevel"/>
    <w:tmpl w:val="D0E21E36"/>
    <w:lvl w:ilvl="0" w:tplc="09AA111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9B605E"/>
    <w:multiLevelType w:val="hybridMultilevel"/>
    <w:tmpl w:val="406E5214"/>
    <w:lvl w:ilvl="0" w:tplc="ED2E8EAE">
      <w:start w:val="1"/>
      <w:numFmt w:val="upperLetter"/>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3" w15:restartNumberingAfterBreak="0">
    <w:nsid w:val="6A3E079C"/>
    <w:multiLevelType w:val="multilevel"/>
    <w:tmpl w:val="2DEAF60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92"/>
    <w:rsid w:val="00092492"/>
    <w:rsid w:val="00161202"/>
    <w:rsid w:val="005412D0"/>
    <w:rsid w:val="00746368"/>
    <w:rsid w:val="00F11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9B0D"/>
  <w15:chartTrackingRefBased/>
  <w15:docId w15:val="{718CF138-092E-421F-AA7A-A1B84C3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2492"/>
    <w:pPr>
      <w:spacing w:after="120" w:line="240" w:lineRule="auto"/>
      <w:jc w:val="both"/>
    </w:pPr>
  </w:style>
  <w:style w:type="paragraph" w:styleId="Nadpis1">
    <w:name w:val="heading 1"/>
    <w:basedOn w:val="Normln"/>
    <w:next w:val="Normln"/>
    <w:link w:val="Nadpis1Char"/>
    <w:uiPriority w:val="9"/>
    <w:qFormat/>
    <w:rsid w:val="00092492"/>
    <w:pPr>
      <w:keepNext/>
      <w:keepLines/>
      <w:numPr>
        <w:numId w:val="3"/>
      </w:numPr>
      <w:spacing w:before="360" w:after="24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nhideWhenUsed/>
    <w:qFormat/>
    <w:rsid w:val="00092492"/>
    <w:pPr>
      <w:keepNext/>
      <w:keepLines/>
      <w:numPr>
        <w:ilvl w:val="1"/>
        <w:numId w:val="3"/>
      </w:numPr>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92492"/>
    <w:pPr>
      <w:keepNext/>
      <w:keepLines/>
      <w:numPr>
        <w:ilvl w:val="2"/>
        <w:numId w:val="3"/>
      </w:numPr>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09249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qFormat/>
    <w:rsid w:val="00092492"/>
    <w:pPr>
      <w:keepNext/>
      <w:numPr>
        <w:ilvl w:val="5"/>
        <w:numId w:val="3"/>
      </w:numPr>
      <w:spacing w:after="0"/>
      <w:outlineLvl w:val="5"/>
    </w:pPr>
    <w:rPr>
      <w:rFonts w:ascii="Times New Roman" w:eastAsia="Times New Roman" w:hAnsi="Times New Roman" w:cs="Times New Roman"/>
      <w:i/>
      <w:iCs/>
      <w:color w:val="000000"/>
      <w:sz w:val="24"/>
      <w:szCs w:val="24"/>
      <w:lang w:eastAsia="cs-CZ"/>
    </w:rPr>
  </w:style>
  <w:style w:type="paragraph" w:styleId="Nadpis7">
    <w:name w:val="heading 7"/>
    <w:basedOn w:val="Normln"/>
    <w:next w:val="Normln"/>
    <w:link w:val="Nadpis7Char"/>
    <w:qFormat/>
    <w:rsid w:val="00092492"/>
    <w:pPr>
      <w:keepNext/>
      <w:numPr>
        <w:ilvl w:val="6"/>
        <w:numId w:val="3"/>
      </w:numPr>
      <w:spacing w:after="0"/>
      <w:outlineLvl w:val="6"/>
    </w:pPr>
    <w:rPr>
      <w:rFonts w:ascii="Times New Roman" w:eastAsia="Times New Roman" w:hAnsi="Times New Roman" w:cs="Times New Roman"/>
      <w:b/>
      <w:bCs/>
      <w:sz w:val="40"/>
      <w:szCs w:val="24"/>
      <w:lang w:eastAsia="cs-CZ"/>
    </w:rPr>
  </w:style>
  <w:style w:type="paragraph" w:styleId="Nadpis8">
    <w:name w:val="heading 8"/>
    <w:basedOn w:val="Normln"/>
    <w:next w:val="Normln"/>
    <w:link w:val="Nadpis8Char"/>
    <w:qFormat/>
    <w:rsid w:val="00092492"/>
    <w:pPr>
      <w:keepNext/>
      <w:numPr>
        <w:ilvl w:val="7"/>
        <w:numId w:val="3"/>
      </w:numPr>
      <w:spacing w:after="0"/>
      <w:jc w:val="center"/>
      <w:outlineLvl w:val="7"/>
    </w:pPr>
    <w:rPr>
      <w:rFonts w:ascii="Times New Roman" w:eastAsia="Times New Roman" w:hAnsi="Times New Roman" w:cs="Times New Roman"/>
      <w:b/>
      <w:bCs/>
      <w:sz w:val="24"/>
      <w:szCs w:val="28"/>
      <w:lang w:eastAsia="cs-CZ"/>
    </w:rPr>
  </w:style>
  <w:style w:type="paragraph" w:styleId="Nadpis9">
    <w:name w:val="heading 9"/>
    <w:basedOn w:val="Normln"/>
    <w:next w:val="Normln"/>
    <w:link w:val="Nadpis9Char"/>
    <w:qFormat/>
    <w:rsid w:val="00092492"/>
    <w:pPr>
      <w:keepNext/>
      <w:numPr>
        <w:ilvl w:val="8"/>
        <w:numId w:val="3"/>
      </w:numPr>
      <w:spacing w:after="0" w:line="233" w:lineRule="auto"/>
      <w:outlineLvl w:val="8"/>
    </w:pPr>
    <w:rPr>
      <w:rFonts w:ascii="Times New Roman" w:eastAsia="Times New Roman" w:hAnsi="Times New Roman" w:cs="Times New Roman"/>
      <w:color w:val="000000"/>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2492"/>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rsid w:val="00092492"/>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092492"/>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rsid w:val="00092492"/>
    <w:rPr>
      <w:rFonts w:asciiTheme="majorHAnsi" w:eastAsiaTheme="majorEastAsia" w:hAnsiTheme="majorHAnsi" w:cstheme="majorBidi"/>
      <w:i/>
      <w:iCs/>
      <w:color w:val="2E74B5" w:themeColor="accent1" w:themeShade="BF"/>
    </w:rPr>
  </w:style>
  <w:style w:type="character" w:customStyle="1" w:styleId="Nadpis6Char">
    <w:name w:val="Nadpis 6 Char"/>
    <w:basedOn w:val="Standardnpsmoodstavce"/>
    <w:link w:val="Nadpis6"/>
    <w:rsid w:val="00092492"/>
    <w:rPr>
      <w:rFonts w:ascii="Times New Roman" w:eastAsia="Times New Roman" w:hAnsi="Times New Roman" w:cs="Times New Roman"/>
      <w:i/>
      <w:iCs/>
      <w:color w:val="000000"/>
      <w:sz w:val="24"/>
      <w:szCs w:val="24"/>
      <w:lang w:eastAsia="cs-CZ"/>
    </w:rPr>
  </w:style>
  <w:style w:type="character" w:customStyle="1" w:styleId="Nadpis7Char">
    <w:name w:val="Nadpis 7 Char"/>
    <w:basedOn w:val="Standardnpsmoodstavce"/>
    <w:link w:val="Nadpis7"/>
    <w:rsid w:val="00092492"/>
    <w:rPr>
      <w:rFonts w:ascii="Times New Roman" w:eastAsia="Times New Roman" w:hAnsi="Times New Roman" w:cs="Times New Roman"/>
      <w:b/>
      <w:bCs/>
      <w:sz w:val="40"/>
      <w:szCs w:val="24"/>
      <w:lang w:eastAsia="cs-CZ"/>
    </w:rPr>
  </w:style>
  <w:style w:type="character" w:customStyle="1" w:styleId="Nadpis8Char">
    <w:name w:val="Nadpis 8 Char"/>
    <w:basedOn w:val="Standardnpsmoodstavce"/>
    <w:link w:val="Nadpis8"/>
    <w:rsid w:val="00092492"/>
    <w:rPr>
      <w:rFonts w:ascii="Times New Roman" w:eastAsia="Times New Roman" w:hAnsi="Times New Roman" w:cs="Times New Roman"/>
      <w:b/>
      <w:bCs/>
      <w:sz w:val="24"/>
      <w:szCs w:val="28"/>
      <w:lang w:eastAsia="cs-CZ"/>
    </w:rPr>
  </w:style>
  <w:style w:type="character" w:customStyle="1" w:styleId="Nadpis9Char">
    <w:name w:val="Nadpis 9 Char"/>
    <w:basedOn w:val="Standardnpsmoodstavce"/>
    <w:link w:val="Nadpis9"/>
    <w:rsid w:val="00092492"/>
    <w:rPr>
      <w:rFonts w:ascii="Times New Roman" w:eastAsia="Times New Roman" w:hAnsi="Times New Roman" w:cs="Times New Roman"/>
      <w:color w:val="000000"/>
      <w:sz w:val="28"/>
      <w:szCs w:val="24"/>
      <w:lang w:eastAsia="cs-CZ"/>
    </w:rPr>
  </w:style>
  <w:style w:type="table" w:styleId="Mkatabulky">
    <w:name w:val="Table Grid"/>
    <w:basedOn w:val="Normlntabulka"/>
    <w:uiPriority w:val="39"/>
    <w:rsid w:val="0009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Char Char"/>
    <w:basedOn w:val="Normln"/>
    <w:next w:val="Normln"/>
    <w:link w:val="TitulekChar1"/>
    <w:uiPriority w:val="35"/>
    <w:unhideWhenUsed/>
    <w:qFormat/>
    <w:rsid w:val="00092492"/>
    <w:rPr>
      <w:b/>
      <w:bCs/>
      <w:color w:val="5B9BD5" w:themeColor="accent1"/>
      <w:sz w:val="18"/>
      <w:szCs w:val="18"/>
    </w:rPr>
  </w:style>
  <w:style w:type="paragraph" w:styleId="Textpoznpodarou">
    <w:name w:val="footnote text"/>
    <w:basedOn w:val="Normln"/>
    <w:link w:val="TextpoznpodarouChar"/>
    <w:uiPriority w:val="99"/>
    <w:unhideWhenUsed/>
    <w:rsid w:val="00092492"/>
    <w:pPr>
      <w:spacing w:after="0"/>
    </w:pPr>
    <w:rPr>
      <w:sz w:val="20"/>
      <w:szCs w:val="20"/>
    </w:rPr>
  </w:style>
  <w:style w:type="character" w:customStyle="1" w:styleId="TextpoznpodarouChar">
    <w:name w:val="Text pozn. pod čarou Char"/>
    <w:basedOn w:val="Standardnpsmoodstavce"/>
    <w:link w:val="Textpoznpodarou"/>
    <w:uiPriority w:val="99"/>
    <w:rsid w:val="00092492"/>
    <w:rPr>
      <w:sz w:val="20"/>
      <w:szCs w:val="20"/>
    </w:rPr>
  </w:style>
  <w:style w:type="character" w:styleId="Znakapoznpodarou">
    <w:name w:val="footnote reference"/>
    <w:basedOn w:val="Standardnpsmoodstavce"/>
    <w:uiPriority w:val="99"/>
    <w:unhideWhenUsed/>
    <w:rsid w:val="00092492"/>
    <w:rPr>
      <w:vertAlign w:val="superscript"/>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092492"/>
    <w:pPr>
      <w:ind w:left="720"/>
      <w:contextualSpacing/>
    </w:p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35"/>
    <w:locked/>
    <w:rsid w:val="00092492"/>
    <w:rPr>
      <w:b/>
      <w:bCs/>
      <w:color w:val="5B9BD5" w:themeColor="accent1"/>
      <w:sz w:val="18"/>
      <w:szCs w:val="18"/>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uiPriority w:val="34"/>
    <w:locked/>
    <w:rsid w:val="00092492"/>
  </w:style>
  <w:style w:type="paragraph" w:styleId="Zhlav">
    <w:name w:val="header"/>
    <w:basedOn w:val="Normln"/>
    <w:link w:val="ZhlavChar"/>
    <w:uiPriority w:val="99"/>
    <w:unhideWhenUsed/>
    <w:rsid w:val="005412D0"/>
    <w:pPr>
      <w:tabs>
        <w:tab w:val="center" w:pos="4536"/>
        <w:tab w:val="right" w:pos="9072"/>
      </w:tabs>
      <w:spacing w:after="0"/>
    </w:pPr>
  </w:style>
  <w:style w:type="character" w:customStyle="1" w:styleId="ZhlavChar">
    <w:name w:val="Záhlaví Char"/>
    <w:basedOn w:val="Standardnpsmoodstavce"/>
    <w:link w:val="Zhlav"/>
    <w:uiPriority w:val="99"/>
    <w:rsid w:val="005412D0"/>
  </w:style>
  <w:style w:type="paragraph" w:styleId="Zpat">
    <w:name w:val="footer"/>
    <w:basedOn w:val="Normln"/>
    <w:link w:val="ZpatChar"/>
    <w:uiPriority w:val="99"/>
    <w:unhideWhenUsed/>
    <w:rsid w:val="005412D0"/>
    <w:pPr>
      <w:tabs>
        <w:tab w:val="center" w:pos="4536"/>
        <w:tab w:val="right" w:pos="9072"/>
      </w:tabs>
      <w:spacing w:after="0"/>
    </w:pPr>
  </w:style>
  <w:style w:type="character" w:customStyle="1" w:styleId="ZpatChar">
    <w:name w:val="Zápatí Char"/>
    <w:basedOn w:val="Standardnpsmoodstavce"/>
    <w:link w:val="Zpat"/>
    <w:uiPriority w:val="99"/>
    <w:rsid w:val="0054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2420</Words>
  <Characters>14281</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2021-08-01T18:46:00Z</dcterms:created>
  <dcterms:modified xsi:type="dcterms:W3CDTF">2021-08-01T18:50:00Z</dcterms:modified>
</cp:coreProperties>
</file>